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Julie Platt, 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Brian Bolton,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oni Parker-Roach,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fr-FR"/>
                        </w:rPr>
                        <w:t>Julie Platt, 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Brian Bolton,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oni Parker-Roach,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180244</wp:posOffset>
            </wp:positionV>
            <wp:extent cx="2560955" cy="641308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64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Destination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Wednesday,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February 7, 2024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Minutes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Present: Greg Sheldon, Jeff Gordon, Julie Platt, Brian Bolton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Guests: Judy Anderson,Karen Tucker-Barisano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/>
          <w:b w:val="1"/>
          <w:bCs w:val="1"/>
          <w:sz w:val="28"/>
          <w:szCs w:val="28"/>
          <w:u w:val="single"/>
          <w:lang w:val="en-US"/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Review and Approve Minutes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b w:val="0"/>
          <w:bCs w:val="0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Motion made by Bolton to approve the Minutes from January 31, 2024. Motion 2nd by JGordon. Minutes approved by unanimous vote.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14:textFill>
            <w14:solidFill>
              <w14:srgbClr w14:val="222222"/>
            </w14:solidFill>
          </w14:textFill>
        </w:rPr>
        <w:t>2.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Updates: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-One Stop Grant Commonwealth Places review: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Helvetica" w:hAnsi="Helvetica"/>
          <w:b w:val="0"/>
          <w:bCs w:val="0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Week of 2/12 there is a possibility of meeting with One Stop MA grant team for feedback on DGC submission in June 2023, GSheldon to coordinate.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-Master Plan Feb. 6 meeting review: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*March 14 will be the 3rd Public Forum for the Master Plan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0"/>
          <w:bCs w:val="0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The planners have included the MRPC statistics that were presented by Tracy Murphy to DGC.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America 250th Don Black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 No updates.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DGC/GBA 4/12/24 Town Conference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Friday, April 12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JGordon is collating an email list for distribution.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Panelists were discussed: Town Panel: Takaski Tada, Mark Haddad, Tracy Murphy.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Business Panelists: John Amaral, Lisa Fiorentino, others to be asked.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Discussion about title of the conference and need for an action verb.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Discussion regarding possible Keynote Speaker Tim Hess. All agreed that GSheldon would invite Tim Hess to be the Keynote Speaker.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Disussion regarding Station Ave. development and how GELD remained on Station Ave which changed the plan for development.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 / TO DO LIST: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Invitation / mailing</w:t>
        <w:tab/>
        <w:tab/>
        <w:tab/>
        <w:t>Press release and photos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Nametags</w:t>
        <w:tab/>
        <w:tab/>
        <w:tab/>
        <w:tab/>
        <w:tab/>
        <w:t>Program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GBA Posters</w:t>
        <w:tab/>
        <w:tab/>
        <w:tab/>
        <w:tab/>
        <w:t>Contact Speakers (in process)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Banner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GBA members to have complementary invitation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Grant Writing Working Group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Joni contacting Molly Singer, grant writer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Communications and Marketing Working Group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BBolton and group will be proposing changes to the website; namely an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Open for Business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tab on the Main menu. This will include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Why Groton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”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"Success Stories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and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How to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…”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which will be directly linked to Town of Groton website. Information on the 5 economic zones in Groton: West Groton, Four Corners, Mill Run Plaza area, Country Club/CVS area, Groton Center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BBolton proposed that DGC spend no more than $400 with a website specialist to help optimize the Destination Groton website.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Motion made to approve proposal made by GSheldon, 2nd by JGordon.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Motion was approved with a unanimous vote of the committee.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-DLTA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2024 MRPC application</w:t>
      </w:r>
      <w:r>
        <w:rPr>
          <w:rFonts w:ascii="Helvetica" w:hAnsi="Helvetica" w:hint="default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or extension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GSheldon described next steps. The baseline report of retail leakage has been drafted. There are many items on the request list for MRPC information that have not been fulfilled: i.e. There no interviews with Groton Hill Music, Town officials, Chambers of Commerce.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Traffic reports have not been provided.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Need to re-apply to DLTA Grant for 2024 with more specific requests.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14:textFill>
            <w14:solidFill>
              <w14:srgbClr w14:val="222222"/>
            </w14:solidFill>
          </w14:textFill>
        </w:rPr>
        <w:t>2.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Historical Society Draft Letter of Support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GSheldon described ask from Historical Society for a letter of support for CPC grant money. DG Committee voted for unanimous support as the Historical Society showcases Groton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history.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3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Vision Plan outline discussion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 for ALL: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Vision Plan Outline has been provided. Please make time to add to the outline with either notes/thoughts. Sit and write a paragraph or two.Think about what needs to be communicated / advised to include in report.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Meeting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Adjour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ned: 3:20pm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Next meeting will be with One Stop Grant committee representatives via Zoom call week of 2/12/24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Respectfully Submitted,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Julie S Platt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Clerk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Committee</w:t>
      </w:r>
    </w:p>
    <w:p>
      <w:pPr>
        <w:pStyle w:val="Body"/>
        <w:shd w:val="clear" w:color="auto" w:fill="ffffff"/>
        <w:spacing w:after="0" w:line="240" w:lineRule="auto"/>
      </w:pPr>
      <w:r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