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180244</wp:posOffset>
            </wp:positionV>
            <wp:extent cx="2560955" cy="641308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64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Destination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Wednesday, January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24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Present: Greg Sheldon, Jeff Gordon, Julie Platt, Joni Parker- Roach,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      Brian Bolton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 Karen Tucker-Barisano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0"/>
          <w:bCs w:val="0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kern w:val="0"/>
          <w:sz w:val="26"/>
          <w:szCs w:val="26"/>
          <w:u w:color="222222"/>
          <w:lang w:val="en-US"/>
        </w:rPr>
      </w:pPr>
      <w:r>
        <w:rPr>
          <w:rFonts w:ascii="Helvetica" w:hAnsi="Helvetica"/>
          <w:b w:val="1"/>
          <w:bCs w:val="1"/>
          <w:kern w:val="0"/>
          <w:sz w:val="26"/>
          <w:szCs w:val="26"/>
          <w:u w:val="single" w:color="222222"/>
          <w:rtl w:val="0"/>
          <w:lang w:val="en-US"/>
        </w:rPr>
        <w:t>Meeting Minutes</w:t>
      </w:r>
      <w:r>
        <w:rPr>
          <w:rFonts w:ascii="Helvetica" w:hAnsi="Helvetica"/>
          <w:kern w:val="0"/>
          <w:sz w:val="26"/>
          <w:szCs w:val="26"/>
          <w:u w:val="single" w:color="222222"/>
          <w:rtl w:val="0"/>
          <w:lang w:val="en-US"/>
        </w:rPr>
        <w:t>:</w:t>
      </w:r>
      <w:r>
        <w:rPr>
          <w:rFonts w:ascii="Helvetica" w:hAnsi="Helvetica"/>
          <w:kern w:val="0"/>
          <w:sz w:val="26"/>
          <w:szCs w:val="26"/>
          <w:u w:color="222222"/>
          <w:rtl w:val="0"/>
          <w:lang w:val="en-US"/>
        </w:rPr>
        <w:t xml:space="preserve"> Motion to approve minutes from 1/20/24 by JParker-Roach, 2nd by BBolton. Minutes from 1/10/24 approved unanimously.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Updates: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MRPC Data Analysis Report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-Tracy Murphy to join DG Committee during regular meeting on 1/31/24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 has asked for the report to be emailed to him to share with DGC so Committee members are not seeing information for the first time.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 to invite Takaski Tada to 1/31/24 meeting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 All Committee members to read and formulate questions once MRPC report is emailed, bring thoughts and questions to 1/31/24 meeting.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Regional Six Town Group with Representative Scarsdale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-Group with representatives from 1st Middlesex District met on 1/19/2024.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-Idea is to highlight the region within North Central MA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-Discussion of collaboration on a regional website - one site- each town linked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-Could Roy N. Include all on North Central or should it be it</w:t>
      </w:r>
      <w:r>
        <w:rPr>
          <w:rFonts w:ascii="Helvetica" w:hAnsi="Helvetic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own website/landing page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-Coalition around Tourism/Business/ Regional issues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-Rural small towns of Massachusetts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-JGordon asked BBolton for his opinion of $1200/town estimate is a reasonable cost for website or if it most likely be a higher cost.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-BBolton suggests that creating a budget is difficult to predict as each town may have different content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-JAnderson stated all towns in this region are having budget issues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Grotonfest Spring into Summer at Prescott Community Ctr.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-Scheduled for Sunday, May 19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-Should DGC have a booth for $50.00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-All decided that visibility is a good idea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One Stop Grant Debrief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 trying to set up 1 hour Zoom call to debrief/ hear feedback about the Commonwealth Places grant submitted in 2023.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-Need to update chart of grant opportunities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 JParker-Roach to call Molly Singer and ask if Grant Opportunities for Groton chart from last year can be updated.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Business Forum: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-Date needs to be adjusted from March 27 - all decided to try for week of April 8.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-Discussion regarding keynote speaker and message DGC is trying to send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-Discussion about Town Overlay District in practice vs. design process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-Goal is to try to create new economic revenue streams for Groton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-Invite list of GBA members from JGordon and also curated list of invitees`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ACTION: JGordon to contact Michelle Collette to invite her to a DGC meeting to inform the Committee about the Town Center overlay history/process/context.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Marketing Working Group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-BBolton reported that the newsletter distribution was a success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-38% open rate which is very good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-Unique clicks on stories / articles can be tracked which is helpful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 asked if we can post on social media as well as DG website and DG page on Town of Groton website?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 inquired if recording from Groton Regional Tourism Conference can be posted on websites also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3.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10 Year Strategic Vision Plan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-Once MRPC data analysis has been shared, writing can begin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-We have Survey results:  </w:t>
      </w:r>
      <w:r>
        <w:rPr>
          <w:rFonts w:ascii="Helvetica" w:hAnsi="Helvetic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This is what we hear</w:t>
      </w:r>
      <w:r>
        <w:rPr>
          <w:rFonts w:ascii="Helvetica" w:hAnsi="Helvetic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-We have Data results: </w:t>
      </w:r>
      <w:r>
        <w:rPr>
          <w:rFonts w:ascii="Helvetica" w:hAnsi="Helvetic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This is what facts we have gathered</w:t>
      </w:r>
      <w:r>
        <w:rPr>
          <w:rFonts w:ascii="Helvetica" w:hAnsi="Helvetic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-ACTION: All DGC members to read the North Central regional plan emailed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-Due date for report to be March 26,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-Will present findings to Destination Groton Business Forum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-Present to Town at Fall 2024 Town Meeting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adjourned 2:30pm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Next meeting January 31,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Respectfully Submitted,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Julie S. Platt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Clerk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</w:pP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